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EB6FE0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</w:t>
            </w:r>
            <w:r>
              <w:rPr>
                <w:sz w:val="20"/>
                <w:szCs w:val="20"/>
                <w:lang w:eastAsia="en-US"/>
              </w:rPr>
              <w:t>eruchomości o nr 3695/2 położonej   w  m. Lipowa</w:t>
            </w:r>
          </w:p>
        </w:tc>
      </w:tr>
      <w:tr w:rsidR="00EB6FE0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EB6FE0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RI.6131.133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>
              <w:rPr>
                <w:sz w:val="20"/>
                <w:szCs w:val="20"/>
                <w:lang w:eastAsia="en-US"/>
              </w:rPr>
              <w:t>.09.2012 r.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.09.2012 r. 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EB6FE0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EB6FE0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6FE0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B6FE0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E0" w:rsidRDefault="00EB6FE0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EB6FE0" w:rsidRDefault="00EB6FE0" w:rsidP="00EB6FE0"/>
    <w:p w:rsidR="00EB6FE0" w:rsidRDefault="00EB6FE0" w:rsidP="00EB6FE0"/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E0"/>
    <w:rsid w:val="008A7F50"/>
    <w:rsid w:val="00E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2012-10-18T11:11:00Z</dcterms:created>
  <dcterms:modified xsi:type="dcterms:W3CDTF">2012-10-18T11:13:00Z</dcterms:modified>
</cp:coreProperties>
</file>